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CF" w:rsidRDefault="002D25CF" w:rsidP="002D25CF">
      <w:r>
        <w:rPr>
          <w:noProof/>
        </w:rPr>
        <w:drawing>
          <wp:inline distT="0" distB="0" distL="0" distR="0">
            <wp:extent cx="3954780" cy="1045210"/>
            <wp:effectExtent l="19050" t="0" r="7620" b="0"/>
            <wp:docPr id="1" name="Immagine 1" descr="uil-logo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l-logo2x"/>
                    <pic:cNvPicPr>
                      <a:picLocks noChangeAspect="1" noChangeArrowheads="1"/>
                    </pic:cNvPicPr>
                  </pic:nvPicPr>
                  <pic:blipFill>
                    <a:blip r:embed="rId5" cstate="print"/>
                    <a:srcRect/>
                    <a:stretch>
                      <a:fillRect/>
                    </a:stretch>
                  </pic:blipFill>
                  <pic:spPr bwMode="auto">
                    <a:xfrm>
                      <a:off x="0" y="0"/>
                      <a:ext cx="3954780" cy="1045210"/>
                    </a:xfrm>
                    <a:prstGeom prst="rect">
                      <a:avLst/>
                    </a:prstGeom>
                    <a:noFill/>
                    <a:ln w="9525">
                      <a:noFill/>
                      <a:miter lim="800000"/>
                      <a:headEnd/>
                      <a:tailEnd/>
                    </a:ln>
                  </pic:spPr>
                </pic:pic>
              </a:graphicData>
            </a:graphic>
          </wp:inline>
        </w:drawing>
      </w:r>
    </w:p>
    <w:p w:rsidR="002D25CF" w:rsidRPr="0050436D" w:rsidRDefault="002D25CF" w:rsidP="002D25CF">
      <w:pPr>
        <w:pStyle w:val="Corpodeltesto"/>
        <w:spacing w:before="69"/>
        <w:ind w:firstLine="471"/>
        <w:rPr>
          <w:b/>
          <w:sz w:val="24"/>
          <w:szCs w:val="24"/>
        </w:rPr>
      </w:pPr>
      <w:r w:rsidRPr="0050436D">
        <w:rPr>
          <w:b/>
          <w:sz w:val="24"/>
          <w:szCs w:val="24"/>
        </w:rPr>
        <w:t xml:space="preserve">SEGRETERIA PROVINCIALE </w:t>
      </w:r>
      <w:proofErr w:type="spellStart"/>
      <w:r w:rsidRPr="0050436D">
        <w:rPr>
          <w:b/>
          <w:sz w:val="24"/>
          <w:szCs w:val="24"/>
        </w:rPr>
        <w:t>DI</w:t>
      </w:r>
      <w:proofErr w:type="spellEnd"/>
      <w:r w:rsidRPr="0050436D">
        <w:rPr>
          <w:b/>
          <w:sz w:val="24"/>
          <w:szCs w:val="24"/>
        </w:rPr>
        <w:t xml:space="preserve"> LECCO</w:t>
      </w:r>
    </w:p>
    <w:p w:rsidR="002D25CF" w:rsidRDefault="002D25CF" w:rsidP="002D25CF">
      <w:pPr>
        <w:pStyle w:val="Corpodeltesto"/>
        <w:tabs>
          <w:tab w:val="left" w:pos="851"/>
        </w:tabs>
        <w:spacing w:before="1" w:line="386" w:lineRule="auto"/>
        <w:ind w:left="471" w:right="3887"/>
        <w:rPr>
          <w:sz w:val="24"/>
          <w:szCs w:val="24"/>
        </w:rPr>
      </w:pPr>
      <w:r w:rsidRPr="0050436D">
        <w:rPr>
          <w:sz w:val="24"/>
          <w:szCs w:val="24"/>
        </w:rPr>
        <w:t>Lecco Corso Martiri della Liberazione n°54</w:t>
      </w:r>
    </w:p>
    <w:p w:rsidR="002D25CF" w:rsidRPr="00AA5F44" w:rsidRDefault="002D25CF" w:rsidP="002D25CF">
      <w:pPr>
        <w:pStyle w:val="Corpodeltesto"/>
        <w:tabs>
          <w:tab w:val="left" w:pos="851"/>
        </w:tabs>
        <w:spacing w:before="1" w:line="386" w:lineRule="auto"/>
        <w:ind w:left="471" w:right="3887"/>
        <w:rPr>
          <w:sz w:val="24"/>
          <w:szCs w:val="24"/>
          <w:lang w:val="en-US"/>
        </w:rPr>
      </w:pPr>
      <w:r w:rsidRPr="0050436D">
        <w:rPr>
          <w:sz w:val="22"/>
          <w:szCs w:val="22"/>
        </w:rPr>
        <w:t xml:space="preserve"> </w:t>
      </w:r>
      <w:r w:rsidRPr="00AA5F44">
        <w:rPr>
          <w:sz w:val="22"/>
          <w:szCs w:val="22"/>
          <w:lang w:val="en-US"/>
        </w:rPr>
        <w:t>cell. 3357805556 - 3382292088</w:t>
      </w:r>
    </w:p>
    <w:p w:rsidR="002D25CF" w:rsidRPr="00AA5F44" w:rsidRDefault="002D25CF" w:rsidP="002D25CF">
      <w:pPr>
        <w:pStyle w:val="Corpodeltesto"/>
        <w:tabs>
          <w:tab w:val="left" w:pos="851"/>
        </w:tabs>
        <w:spacing w:before="1" w:line="386" w:lineRule="auto"/>
        <w:ind w:left="471" w:right="3887"/>
        <w:rPr>
          <w:spacing w:val="-27"/>
          <w:sz w:val="22"/>
          <w:szCs w:val="22"/>
          <w:lang w:val="en-US"/>
        </w:rPr>
      </w:pPr>
      <w:r w:rsidRPr="00AA5F44">
        <w:rPr>
          <w:spacing w:val="-16"/>
          <w:sz w:val="22"/>
          <w:szCs w:val="22"/>
          <w:lang w:val="en-US"/>
        </w:rPr>
        <w:t xml:space="preserve"> </w:t>
      </w:r>
      <w:r w:rsidRPr="00AA5F44">
        <w:rPr>
          <w:sz w:val="22"/>
          <w:szCs w:val="22"/>
          <w:lang w:val="en-US"/>
        </w:rPr>
        <w:t xml:space="preserve">mail: </w:t>
      </w:r>
      <w:hyperlink r:id="rId6" w:history="1">
        <w:r w:rsidRPr="00AA5F44">
          <w:rPr>
            <w:rStyle w:val="Collegamentoipertestuale"/>
            <w:sz w:val="22"/>
            <w:szCs w:val="22"/>
            <w:lang w:val="en-US"/>
          </w:rPr>
          <w:t>l</w:t>
        </w:r>
        <w:r w:rsidRPr="00AA5F44">
          <w:rPr>
            <w:rStyle w:val="Collegamentoipertestuale"/>
            <w:sz w:val="22"/>
            <w:szCs w:val="22"/>
            <w:u w:color="0000FF"/>
            <w:lang w:val="en-US"/>
          </w:rPr>
          <w:t>ecco@uilscuola.it</w:t>
        </w:r>
      </w:hyperlink>
      <w:r w:rsidRPr="00AA5F44">
        <w:rPr>
          <w:spacing w:val="-27"/>
          <w:sz w:val="22"/>
          <w:szCs w:val="22"/>
          <w:lang w:val="en-US"/>
        </w:rPr>
        <w:t xml:space="preserve"> </w:t>
      </w:r>
    </w:p>
    <w:p w:rsidR="002D25CF" w:rsidRPr="00AA5F44" w:rsidRDefault="002D25CF" w:rsidP="002D25CF">
      <w:pPr>
        <w:pStyle w:val="Corpodeltesto"/>
        <w:tabs>
          <w:tab w:val="left" w:pos="851"/>
        </w:tabs>
        <w:spacing w:before="1" w:line="386" w:lineRule="auto"/>
        <w:ind w:left="471" w:right="3887"/>
        <w:rPr>
          <w:b/>
          <w:color w:val="0000FF"/>
          <w:sz w:val="22"/>
          <w:szCs w:val="22"/>
          <w:u w:val="single"/>
          <w:lang w:val="en-US"/>
        </w:rPr>
      </w:pPr>
      <w:r w:rsidRPr="00AA5F44">
        <w:rPr>
          <w:spacing w:val="-27"/>
          <w:sz w:val="22"/>
          <w:szCs w:val="22"/>
          <w:lang w:val="en-US"/>
        </w:rPr>
        <w:t xml:space="preserve"> </w:t>
      </w:r>
      <w:proofErr w:type="spellStart"/>
      <w:r w:rsidRPr="00AA5F44">
        <w:rPr>
          <w:spacing w:val="-27"/>
          <w:sz w:val="22"/>
          <w:szCs w:val="22"/>
          <w:lang w:val="en-US"/>
        </w:rPr>
        <w:t>pec</w:t>
      </w:r>
      <w:proofErr w:type="spellEnd"/>
      <w:r w:rsidRPr="00AA5F44">
        <w:rPr>
          <w:spacing w:val="-27"/>
          <w:sz w:val="22"/>
          <w:szCs w:val="22"/>
          <w:lang w:val="en-US"/>
        </w:rPr>
        <w:t xml:space="preserve">:       </w:t>
      </w:r>
      <w:hyperlink r:id="rId7" w:history="1">
        <w:r w:rsidRPr="00AA5F44">
          <w:rPr>
            <w:rStyle w:val="Collegamentoipertestuale"/>
            <w:sz w:val="22"/>
            <w:szCs w:val="22"/>
            <w:lang w:val="en-US"/>
          </w:rPr>
          <w:t>lecco@pec.uilscuola.it</w:t>
        </w:r>
      </w:hyperlink>
    </w:p>
    <w:p w:rsidR="002D25CF" w:rsidRDefault="002D25CF" w:rsidP="002D25CF">
      <w:pPr>
        <w:rPr>
          <w:lang w:val="en-US"/>
        </w:rPr>
      </w:pPr>
      <w:r w:rsidRPr="000876E5">
        <w:rPr>
          <w:lang w:val="en-US"/>
        </w:rPr>
        <w:t xml:space="preserve"> </w:t>
      </w:r>
    </w:p>
    <w:p w:rsidR="002D25CF" w:rsidRDefault="002D25CF" w:rsidP="002D25CF">
      <w:pPr>
        <w:rPr>
          <w:lang w:val="en-US"/>
        </w:rPr>
      </w:pPr>
    </w:p>
    <w:p w:rsidR="002D25CF" w:rsidRDefault="002D25CF" w:rsidP="002D25CF">
      <w:pPr>
        <w:rPr>
          <w:lang w:val="en-US"/>
        </w:rPr>
      </w:pPr>
    </w:p>
    <w:p w:rsidR="002D25CF" w:rsidRDefault="002D25CF" w:rsidP="002D25CF">
      <w:pPr>
        <w:widowControl w:val="0"/>
        <w:adjustRightInd w:val="0"/>
        <w:jc w:val="center"/>
        <w:rPr>
          <w:b/>
          <w:bCs/>
          <w:sz w:val="36"/>
          <w:szCs w:val="36"/>
        </w:rPr>
      </w:pPr>
      <w:r>
        <w:rPr>
          <w:b/>
          <w:bCs/>
          <w:sz w:val="36"/>
          <w:szCs w:val="36"/>
        </w:rPr>
        <w:t>A TUTTO IL PERSONALE ATA E DOCENTE</w:t>
      </w:r>
    </w:p>
    <w:p w:rsidR="002D25CF" w:rsidRDefault="002D25CF" w:rsidP="002D25CF">
      <w:pPr>
        <w:widowControl w:val="0"/>
        <w:adjustRightInd w:val="0"/>
        <w:jc w:val="center"/>
        <w:rPr>
          <w:b/>
          <w:bCs/>
          <w:sz w:val="36"/>
          <w:szCs w:val="36"/>
        </w:rPr>
      </w:pPr>
      <w:r>
        <w:rPr>
          <w:b/>
          <w:bCs/>
          <w:sz w:val="36"/>
          <w:szCs w:val="36"/>
        </w:rPr>
        <w:t>ISCRITTO ALLA UIL SCUOLA</w:t>
      </w:r>
    </w:p>
    <w:p w:rsidR="002D25CF" w:rsidRDefault="002D25CF" w:rsidP="002D25CF">
      <w:pPr>
        <w:widowControl w:val="0"/>
        <w:adjustRightInd w:val="0"/>
        <w:jc w:val="center"/>
        <w:rPr>
          <w:b/>
          <w:bCs/>
          <w:sz w:val="36"/>
          <w:szCs w:val="36"/>
        </w:rPr>
      </w:pPr>
    </w:p>
    <w:p w:rsidR="002D25CF" w:rsidRDefault="002D25CF" w:rsidP="002D25CF">
      <w:pPr>
        <w:widowControl w:val="0"/>
        <w:adjustRightInd w:val="0"/>
        <w:jc w:val="center"/>
        <w:rPr>
          <w:b/>
          <w:bCs/>
          <w:sz w:val="32"/>
          <w:szCs w:val="32"/>
        </w:rPr>
      </w:pPr>
      <w:r>
        <w:rPr>
          <w:b/>
          <w:bCs/>
          <w:sz w:val="32"/>
          <w:szCs w:val="32"/>
        </w:rPr>
        <w:t>CHIARIMENTI IN MERITO ALLA SENTENZA VINTA IN</w:t>
      </w:r>
    </w:p>
    <w:p w:rsidR="002D25CF" w:rsidRDefault="002D25CF" w:rsidP="002D25CF">
      <w:pPr>
        <w:widowControl w:val="0"/>
        <w:adjustRightInd w:val="0"/>
        <w:jc w:val="center"/>
        <w:rPr>
          <w:b/>
          <w:bCs/>
          <w:sz w:val="32"/>
          <w:szCs w:val="32"/>
          <w:u w:val="single"/>
        </w:rPr>
      </w:pPr>
      <w:r>
        <w:rPr>
          <w:b/>
          <w:bCs/>
          <w:sz w:val="32"/>
          <w:szCs w:val="32"/>
          <w:u w:val="single"/>
        </w:rPr>
        <w:t xml:space="preserve">CORTE </w:t>
      </w:r>
      <w:proofErr w:type="spellStart"/>
      <w:r>
        <w:rPr>
          <w:b/>
          <w:bCs/>
          <w:sz w:val="32"/>
          <w:szCs w:val="32"/>
          <w:u w:val="single"/>
        </w:rPr>
        <w:t>DI</w:t>
      </w:r>
      <w:proofErr w:type="spellEnd"/>
      <w:r>
        <w:rPr>
          <w:b/>
          <w:bCs/>
          <w:sz w:val="32"/>
          <w:szCs w:val="32"/>
          <w:u w:val="single"/>
        </w:rPr>
        <w:t xml:space="preserve"> APPELLO </w:t>
      </w:r>
      <w:proofErr w:type="spellStart"/>
      <w:r>
        <w:rPr>
          <w:b/>
          <w:bCs/>
          <w:sz w:val="32"/>
          <w:szCs w:val="32"/>
          <w:u w:val="single"/>
        </w:rPr>
        <w:t>DI</w:t>
      </w:r>
      <w:proofErr w:type="spellEnd"/>
      <w:r>
        <w:rPr>
          <w:b/>
          <w:bCs/>
          <w:sz w:val="32"/>
          <w:szCs w:val="32"/>
          <w:u w:val="single"/>
        </w:rPr>
        <w:t xml:space="preserve"> MILANO nel 2017</w:t>
      </w:r>
    </w:p>
    <w:p w:rsidR="002D25CF" w:rsidRDefault="002D25CF" w:rsidP="002D25CF">
      <w:pPr>
        <w:widowControl w:val="0"/>
        <w:adjustRightInd w:val="0"/>
        <w:jc w:val="center"/>
        <w:rPr>
          <w:b/>
          <w:bCs/>
          <w:sz w:val="32"/>
          <w:szCs w:val="32"/>
        </w:rPr>
      </w:pPr>
      <w:r>
        <w:rPr>
          <w:b/>
          <w:bCs/>
          <w:sz w:val="32"/>
          <w:szCs w:val="32"/>
        </w:rPr>
        <w:t>AI FINI DEL RICONOSCIMENTO DELL’ANZIANITA’ E DELLE DIFFERENZE RETRIBUTIVE EVENTUALMENTE DOVUTE</w:t>
      </w:r>
    </w:p>
    <w:p w:rsidR="002D25CF" w:rsidRDefault="002D25CF" w:rsidP="002D25CF">
      <w:pPr>
        <w:widowControl w:val="0"/>
        <w:adjustRightInd w:val="0"/>
        <w:jc w:val="center"/>
        <w:rPr>
          <w:b/>
          <w:bCs/>
          <w:sz w:val="32"/>
          <w:szCs w:val="32"/>
        </w:rPr>
      </w:pPr>
      <w:r>
        <w:rPr>
          <w:b/>
          <w:bCs/>
          <w:sz w:val="32"/>
          <w:szCs w:val="32"/>
        </w:rPr>
        <w:t>*******************</w:t>
      </w:r>
    </w:p>
    <w:p w:rsidR="002D25CF" w:rsidRDefault="002D25CF" w:rsidP="002D25CF">
      <w:pPr>
        <w:widowControl w:val="0"/>
        <w:adjustRightInd w:val="0"/>
        <w:jc w:val="center"/>
        <w:rPr>
          <w:b/>
          <w:bCs/>
          <w:sz w:val="32"/>
          <w:szCs w:val="32"/>
        </w:rPr>
      </w:pPr>
      <w:r>
        <w:rPr>
          <w:b/>
          <w:bCs/>
          <w:sz w:val="32"/>
          <w:szCs w:val="32"/>
        </w:rPr>
        <w:t xml:space="preserve">ULTERIORI CAUSE PERSONALE ATA PER IL RICONOSCIMENTO DELL’ANZIANITA’ INTEGRALE </w:t>
      </w:r>
    </w:p>
    <w:p w:rsidR="002D25CF" w:rsidRDefault="002D25CF" w:rsidP="002D25CF">
      <w:pPr>
        <w:widowControl w:val="0"/>
        <w:adjustRightInd w:val="0"/>
        <w:jc w:val="center"/>
        <w:rPr>
          <w:b/>
          <w:bCs/>
          <w:sz w:val="32"/>
          <w:szCs w:val="32"/>
        </w:rPr>
      </w:pPr>
    </w:p>
    <w:p w:rsidR="002D25CF" w:rsidRDefault="002D25CF" w:rsidP="002D25CF">
      <w:pPr>
        <w:widowControl w:val="0"/>
        <w:adjustRightInd w:val="0"/>
        <w:jc w:val="center"/>
        <w:rPr>
          <w:b/>
          <w:bCs/>
          <w:sz w:val="32"/>
          <w:szCs w:val="32"/>
        </w:rPr>
      </w:pPr>
    </w:p>
    <w:p w:rsidR="002D25CF" w:rsidRDefault="002D25CF" w:rsidP="002D25CF">
      <w:pPr>
        <w:widowControl w:val="0"/>
        <w:adjustRightInd w:val="0"/>
        <w:jc w:val="both"/>
        <w:rPr>
          <w:sz w:val="24"/>
          <w:szCs w:val="24"/>
        </w:rPr>
      </w:pPr>
      <w:r>
        <w:rPr>
          <w:sz w:val="24"/>
          <w:szCs w:val="24"/>
        </w:rPr>
        <w:t xml:space="preserve">La </w:t>
      </w:r>
      <w:r>
        <w:rPr>
          <w:b/>
          <w:bCs/>
          <w:sz w:val="24"/>
          <w:szCs w:val="24"/>
        </w:rPr>
        <w:t xml:space="preserve">Federazione UIL Scuola </w:t>
      </w:r>
      <w:proofErr w:type="spellStart"/>
      <w:r>
        <w:rPr>
          <w:b/>
          <w:bCs/>
          <w:sz w:val="24"/>
          <w:szCs w:val="24"/>
        </w:rPr>
        <w:t>Rua</w:t>
      </w:r>
      <w:proofErr w:type="spellEnd"/>
      <w:r>
        <w:rPr>
          <w:b/>
          <w:bCs/>
          <w:sz w:val="24"/>
          <w:szCs w:val="24"/>
        </w:rPr>
        <w:t xml:space="preserve"> di Lecco </w:t>
      </w:r>
      <w:r>
        <w:rPr>
          <w:sz w:val="24"/>
          <w:szCs w:val="24"/>
        </w:rPr>
        <w:t xml:space="preserve">con il presente comunicato intende fare chiarezza in merito alle sentenze della Corte d’Appello di Milano pronunciate nel 2017 che hanno riconosciuto ai ricorrenti l’anzianità integrale per i servizi </w:t>
      </w:r>
      <w:proofErr w:type="spellStart"/>
      <w:r>
        <w:rPr>
          <w:sz w:val="24"/>
          <w:szCs w:val="24"/>
        </w:rPr>
        <w:t>preruolo</w:t>
      </w:r>
      <w:proofErr w:type="spellEnd"/>
      <w:r>
        <w:rPr>
          <w:sz w:val="24"/>
          <w:szCs w:val="24"/>
        </w:rPr>
        <w:t xml:space="preserve"> del personale </w:t>
      </w:r>
      <w:r>
        <w:rPr>
          <w:b/>
          <w:bCs/>
          <w:sz w:val="24"/>
          <w:szCs w:val="24"/>
        </w:rPr>
        <w:t>DOCENTE e ATA.</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r>
        <w:rPr>
          <w:sz w:val="24"/>
          <w:szCs w:val="24"/>
        </w:rPr>
        <w:t xml:space="preserve">Sono pervenute da parte di numerosi iscritti lamentele circa la non correttezza della ricostruzione di carriera e dei relativi conteggi economici effettuati dalle scuole o addirittura che non è stata ancora effettuata da alcune scuole la ricostruzione giuridica ed economica in applicazione delle suddette sentenze </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r>
        <w:rPr>
          <w:sz w:val="24"/>
          <w:szCs w:val="24"/>
        </w:rPr>
        <w:t>La scrivente Organizzazione sindacale intende procedere, ad ulteriore tutela dei lavoratori interessati in esecuzione delle sentenze della Corte d’Appello, nel seguente modo:</w:t>
      </w:r>
    </w:p>
    <w:p w:rsidR="002D25CF" w:rsidRDefault="002D25CF" w:rsidP="002D25CF">
      <w:pPr>
        <w:widowControl w:val="0"/>
        <w:adjustRightInd w:val="0"/>
        <w:jc w:val="both"/>
        <w:rPr>
          <w:sz w:val="24"/>
          <w:szCs w:val="24"/>
        </w:rPr>
      </w:pPr>
    </w:p>
    <w:p w:rsidR="002D25CF" w:rsidRPr="0008619C" w:rsidRDefault="002D25CF" w:rsidP="002D25CF">
      <w:pPr>
        <w:widowControl w:val="0"/>
        <w:numPr>
          <w:ilvl w:val="0"/>
          <w:numId w:val="1"/>
        </w:numPr>
        <w:tabs>
          <w:tab w:val="left" w:pos="0"/>
          <w:tab w:val="left" w:pos="220"/>
        </w:tabs>
        <w:adjustRightInd w:val="0"/>
        <w:ind w:left="0" w:firstLine="0"/>
        <w:jc w:val="both"/>
        <w:rPr>
          <w:sz w:val="24"/>
          <w:szCs w:val="24"/>
        </w:rPr>
      </w:pPr>
      <w:r w:rsidRPr="0008619C">
        <w:rPr>
          <w:sz w:val="24"/>
          <w:szCs w:val="24"/>
        </w:rPr>
        <w:t xml:space="preserve">  per il personale che ancora ad oggi non ha avuto da parte della scuola di titolarità la ricostruzione della carriera e l'invio dei conteggi al </w:t>
      </w:r>
      <w:proofErr w:type="spellStart"/>
      <w:r w:rsidRPr="0008619C">
        <w:rPr>
          <w:sz w:val="24"/>
          <w:szCs w:val="24"/>
        </w:rPr>
        <w:t>Mef</w:t>
      </w:r>
      <w:proofErr w:type="spellEnd"/>
      <w:r w:rsidRPr="0008619C">
        <w:rPr>
          <w:sz w:val="24"/>
          <w:szCs w:val="24"/>
        </w:rPr>
        <w:t xml:space="preserve"> di Como, la possibilità di intraprendere un ulteriore vertenza legale  per chiedere l’esecuzione giuridica ed economica delle sentenze della Corte d’Appello</w:t>
      </w:r>
      <w:r w:rsidRPr="0008619C">
        <w:rPr>
          <w:b/>
          <w:bCs/>
          <w:sz w:val="24"/>
          <w:szCs w:val="24"/>
        </w:rPr>
        <w:t xml:space="preserve"> da parte dell'Istituzione scolastica.</w:t>
      </w:r>
    </w:p>
    <w:p w:rsidR="002D25CF" w:rsidRDefault="002D25CF" w:rsidP="002D25CF">
      <w:pPr>
        <w:widowControl w:val="0"/>
        <w:adjustRightInd w:val="0"/>
        <w:jc w:val="both"/>
        <w:rPr>
          <w:b/>
          <w:bCs/>
          <w:sz w:val="24"/>
          <w:szCs w:val="24"/>
        </w:rPr>
      </w:pPr>
    </w:p>
    <w:p w:rsidR="002D25CF" w:rsidRDefault="002D25CF" w:rsidP="002D25CF">
      <w:pPr>
        <w:widowControl w:val="0"/>
        <w:adjustRightInd w:val="0"/>
        <w:jc w:val="both"/>
        <w:rPr>
          <w:sz w:val="24"/>
          <w:szCs w:val="24"/>
        </w:rPr>
      </w:pPr>
    </w:p>
    <w:p w:rsidR="002D25CF" w:rsidRDefault="002D25CF" w:rsidP="002D25CF">
      <w:pPr>
        <w:widowControl w:val="0"/>
        <w:numPr>
          <w:ilvl w:val="0"/>
          <w:numId w:val="1"/>
        </w:numPr>
        <w:tabs>
          <w:tab w:val="left" w:pos="0"/>
          <w:tab w:val="left" w:pos="220"/>
        </w:tabs>
        <w:adjustRightInd w:val="0"/>
        <w:ind w:left="0" w:firstLine="142"/>
        <w:jc w:val="both"/>
        <w:rPr>
          <w:sz w:val="24"/>
          <w:szCs w:val="24"/>
        </w:rPr>
      </w:pPr>
      <w:r>
        <w:rPr>
          <w:sz w:val="24"/>
          <w:szCs w:val="24"/>
        </w:rPr>
        <w:t>Per il personale che, invece, ha ottenuto da parte della scuola di titolarità la ricostruzione giuridica ed economica e volesse verificare la correttezza o meno della stessa rispetto a quelli fatti effettuare da codesta Organizzazione sindacale, dovrà farsi rilasciare dalle singole segreterie scolastiche copia della ricostruzione effettuata con i relativi conteggi economici.</w:t>
      </w:r>
    </w:p>
    <w:p w:rsidR="002D25CF" w:rsidRDefault="002D25CF" w:rsidP="002D25CF">
      <w:pPr>
        <w:widowControl w:val="0"/>
        <w:tabs>
          <w:tab w:val="left" w:pos="0"/>
          <w:tab w:val="left" w:pos="220"/>
        </w:tabs>
        <w:adjustRightInd w:val="0"/>
        <w:jc w:val="both"/>
        <w:rPr>
          <w:sz w:val="24"/>
          <w:szCs w:val="24"/>
        </w:rPr>
      </w:pPr>
    </w:p>
    <w:p w:rsidR="002D25CF" w:rsidRDefault="002D25CF" w:rsidP="002D25CF">
      <w:pPr>
        <w:widowControl w:val="0"/>
        <w:tabs>
          <w:tab w:val="left" w:pos="0"/>
          <w:tab w:val="left" w:pos="220"/>
        </w:tabs>
        <w:adjustRightInd w:val="0"/>
        <w:jc w:val="both"/>
        <w:rPr>
          <w:sz w:val="24"/>
          <w:szCs w:val="24"/>
        </w:rPr>
      </w:pPr>
      <w:r>
        <w:rPr>
          <w:sz w:val="24"/>
          <w:szCs w:val="24"/>
        </w:rPr>
        <w:t>Sarà poi lo Studio legale a cui si rivolgerà codesta organizzazione sindacale a verificare e valutare la correttezza o la necessità di intraprendere ulteriore vertenza legale per determinare le corrette somme dovute in esecuzione delle sentenze della Corte d’Appello.</w:t>
      </w:r>
      <w:r>
        <w:rPr>
          <w:sz w:val="24"/>
          <w:szCs w:val="24"/>
          <w:u w:val="single"/>
        </w:rPr>
        <w:t xml:space="preserve"> </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Default="002D25CF" w:rsidP="002D25CF">
      <w:pPr>
        <w:widowControl w:val="0"/>
        <w:numPr>
          <w:ilvl w:val="0"/>
          <w:numId w:val="1"/>
        </w:numPr>
        <w:tabs>
          <w:tab w:val="left" w:pos="0"/>
          <w:tab w:val="left" w:pos="220"/>
        </w:tabs>
        <w:adjustRightInd w:val="0"/>
        <w:ind w:left="0" w:firstLine="0"/>
        <w:jc w:val="both"/>
        <w:rPr>
          <w:sz w:val="24"/>
          <w:szCs w:val="24"/>
        </w:rPr>
      </w:pPr>
      <w:r>
        <w:rPr>
          <w:sz w:val="24"/>
          <w:szCs w:val="24"/>
        </w:rPr>
        <w:t xml:space="preserve">Il personale ATA che, invece, non ha ancora intrapreso una vertenza legale per il riconoscimento dell’anzianità in maniera integrale e delle differenze retributive eventualmente maturate può rivolgersi alla scrivente </w:t>
      </w:r>
      <w:proofErr w:type="spellStart"/>
      <w:r>
        <w:rPr>
          <w:sz w:val="24"/>
          <w:szCs w:val="24"/>
        </w:rPr>
        <w:t>O.S.</w:t>
      </w:r>
      <w:proofErr w:type="spellEnd"/>
      <w:r>
        <w:rPr>
          <w:sz w:val="24"/>
          <w:szCs w:val="24"/>
        </w:rPr>
        <w:t xml:space="preserve"> per un </w:t>
      </w:r>
      <w:proofErr w:type="spellStart"/>
      <w:r>
        <w:rPr>
          <w:sz w:val="24"/>
          <w:szCs w:val="24"/>
        </w:rPr>
        <w:t>un</w:t>
      </w:r>
      <w:proofErr w:type="spellEnd"/>
      <w:r>
        <w:rPr>
          <w:sz w:val="24"/>
          <w:szCs w:val="24"/>
        </w:rPr>
        <w:t xml:space="preserve"> </w:t>
      </w:r>
      <w:r>
        <w:rPr>
          <w:b/>
          <w:bCs/>
          <w:sz w:val="24"/>
          <w:szCs w:val="24"/>
        </w:rPr>
        <w:t xml:space="preserve">NUOVO </w:t>
      </w:r>
      <w:r>
        <w:rPr>
          <w:sz w:val="24"/>
          <w:szCs w:val="24"/>
        </w:rPr>
        <w:t>Ricorso con i nostri Avvocati, in virtù della giurisprudenza maggioritaria espressa in tal senso (Corte d’Appello, Cassazione e Corte dei Conti).</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r>
        <w:rPr>
          <w:sz w:val="24"/>
          <w:szCs w:val="24"/>
        </w:rPr>
        <w:t xml:space="preserve">Per il personale DOCENTE ogni vertenza legale è al momento sospesa in attesa di una pronuncia ormai prossima della Corte di Cassazione sul punto (a seguito di una </w:t>
      </w:r>
      <w:proofErr w:type="spellStart"/>
      <w:r>
        <w:rPr>
          <w:sz w:val="24"/>
          <w:szCs w:val="24"/>
        </w:rPr>
        <w:t>pronucia</w:t>
      </w:r>
      <w:proofErr w:type="spellEnd"/>
      <w:r>
        <w:rPr>
          <w:sz w:val="24"/>
          <w:szCs w:val="24"/>
        </w:rPr>
        <w:t xml:space="preserve"> sfavorevole della Corte di Giustizia europea) e per i quali seguirà ulteriore comunicazione. </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r>
        <w:rPr>
          <w:sz w:val="24"/>
          <w:szCs w:val="24"/>
        </w:rPr>
        <w:t xml:space="preserve">Per tutto il restante personale che non rientra in nessuno dei punti sopraindicati, ma che ha già presentato un ricorso per il riconoscimento dell'anzianità di servizio deve attendere il verdetto della sentenza e laddove favorevole attendere i tempi necessari per far effettuare la ricostruzione della carriera giuridica ed economica. </w:t>
      </w:r>
    </w:p>
    <w:p w:rsidR="002D25CF" w:rsidRDefault="002D25CF" w:rsidP="002D25CF">
      <w:pPr>
        <w:widowControl w:val="0"/>
        <w:adjustRightInd w:val="0"/>
        <w:jc w:val="both"/>
        <w:rPr>
          <w:sz w:val="24"/>
          <w:szCs w:val="24"/>
        </w:rPr>
      </w:pPr>
      <w:r>
        <w:rPr>
          <w:sz w:val="24"/>
          <w:szCs w:val="24"/>
        </w:rPr>
        <w:t xml:space="preserve">I suddetti saranno poi contattati personalmente dalla scrivente </w:t>
      </w:r>
      <w:proofErr w:type="spellStart"/>
      <w:r>
        <w:rPr>
          <w:sz w:val="24"/>
          <w:szCs w:val="24"/>
        </w:rPr>
        <w:t>O.S.</w:t>
      </w:r>
      <w:proofErr w:type="spellEnd"/>
      <w:r>
        <w:rPr>
          <w:sz w:val="24"/>
          <w:szCs w:val="24"/>
        </w:rPr>
        <w:t xml:space="preserve"> per il prosieguo.</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b/>
          <w:bCs/>
          <w:sz w:val="24"/>
          <w:szCs w:val="24"/>
        </w:rPr>
      </w:pPr>
      <w:r>
        <w:rPr>
          <w:b/>
          <w:bCs/>
          <w:sz w:val="24"/>
          <w:szCs w:val="24"/>
        </w:rPr>
        <w:t xml:space="preserve">GLI UFFICI DELLA FEDERAZIONE UIL SCUOLA </w:t>
      </w:r>
      <w:proofErr w:type="spellStart"/>
      <w:r>
        <w:rPr>
          <w:b/>
          <w:bCs/>
          <w:sz w:val="24"/>
          <w:szCs w:val="24"/>
        </w:rPr>
        <w:t>DI</w:t>
      </w:r>
      <w:proofErr w:type="spellEnd"/>
      <w:r>
        <w:rPr>
          <w:b/>
          <w:bCs/>
          <w:sz w:val="24"/>
          <w:szCs w:val="24"/>
        </w:rPr>
        <w:t xml:space="preserve"> LECCO RESTANO A DISPOSIZIONE PER ULTERIORI CHIARIMENTI CONTATTANDO I SEGUENTI NUMERI </w:t>
      </w:r>
      <w:proofErr w:type="spellStart"/>
      <w:r>
        <w:rPr>
          <w:b/>
          <w:bCs/>
          <w:sz w:val="24"/>
          <w:szCs w:val="24"/>
        </w:rPr>
        <w:t>DI</w:t>
      </w:r>
      <w:proofErr w:type="spellEnd"/>
      <w:r>
        <w:rPr>
          <w:b/>
          <w:bCs/>
          <w:sz w:val="24"/>
          <w:szCs w:val="24"/>
        </w:rPr>
        <w:t xml:space="preserve"> CELLULARE:</w:t>
      </w:r>
    </w:p>
    <w:p w:rsidR="002D25CF" w:rsidRDefault="002D25CF" w:rsidP="002D25CF">
      <w:pPr>
        <w:widowControl w:val="0"/>
        <w:adjustRightInd w:val="0"/>
        <w:jc w:val="both"/>
        <w:rPr>
          <w:b/>
          <w:bCs/>
          <w:sz w:val="24"/>
          <w:szCs w:val="24"/>
        </w:rPr>
      </w:pPr>
    </w:p>
    <w:p w:rsidR="002D25CF" w:rsidRDefault="002D25CF" w:rsidP="002D25CF">
      <w:pPr>
        <w:widowControl w:val="0"/>
        <w:adjustRightInd w:val="0"/>
        <w:jc w:val="both"/>
        <w:rPr>
          <w:b/>
          <w:bCs/>
          <w:sz w:val="24"/>
          <w:szCs w:val="24"/>
        </w:rPr>
      </w:pPr>
      <w:r>
        <w:rPr>
          <w:b/>
          <w:bCs/>
          <w:sz w:val="24"/>
          <w:szCs w:val="24"/>
        </w:rPr>
        <w:t>3357805556 - 3382292088</w:t>
      </w:r>
    </w:p>
    <w:p w:rsidR="002D25CF" w:rsidRDefault="002D25CF" w:rsidP="002D25CF">
      <w:pPr>
        <w:widowControl w:val="0"/>
        <w:adjustRightInd w:val="0"/>
        <w:jc w:val="both"/>
        <w:rPr>
          <w:sz w:val="24"/>
          <w:szCs w:val="24"/>
        </w:rPr>
      </w:pPr>
    </w:p>
    <w:p w:rsidR="002D25CF" w:rsidRDefault="002D25CF" w:rsidP="002D25CF">
      <w:pPr>
        <w:widowControl w:val="0"/>
        <w:adjustRightInd w:val="0"/>
        <w:jc w:val="both"/>
        <w:rPr>
          <w:sz w:val="24"/>
          <w:szCs w:val="24"/>
        </w:rPr>
      </w:pPr>
    </w:p>
    <w:p w:rsidR="002D25CF" w:rsidRPr="002766A6" w:rsidRDefault="002D25CF" w:rsidP="002D25CF">
      <w:pPr>
        <w:adjustRightInd w:val="0"/>
        <w:ind w:left="5664" w:firstLine="708"/>
        <w:jc w:val="both"/>
        <w:rPr>
          <w:rFonts w:ascii="Arial" w:hAnsi="Arial" w:cs="Arial"/>
          <w:color w:val="000000"/>
        </w:rPr>
      </w:pPr>
      <w:r>
        <w:rPr>
          <w:sz w:val="24"/>
          <w:szCs w:val="24"/>
        </w:rPr>
        <w:t>Lecco  04/10/2019</w:t>
      </w:r>
    </w:p>
    <w:p w:rsidR="002D25CF" w:rsidRDefault="002D25CF" w:rsidP="002D25CF">
      <w:pPr>
        <w:rPr>
          <w:lang w:val="en-US"/>
        </w:rPr>
      </w:pPr>
    </w:p>
    <w:p w:rsidR="002D25CF" w:rsidRDefault="002D25CF" w:rsidP="002D25CF">
      <w:pPr>
        <w:rPr>
          <w:lang w:val="en-US"/>
        </w:rPr>
      </w:pPr>
    </w:p>
    <w:p w:rsidR="002D25CF" w:rsidRDefault="002D25CF" w:rsidP="002D25CF">
      <w:pPr>
        <w:rPr>
          <w:lang w:val="en-US"/>
        </w:rPr>
      </w:pPr>
    </w:p>
    <w:p w:rsidR="002D25CF" w:rsidRDefault="002D25CF" w:rsidP="002D25CF">
      <w:pPr>
        <w:rPr>
          <w:lang w:val="en-US"/>
        </w:rPr>
      </w:pPr>
    </w:p>
    <w:p w:rsidR="002D25CF" w:rsidRDefault="002D25CF" w:rsidP="002D25CF">
      <w:pPr>
        <w:rPr>
          <w:lang w:val="en-US"/>
        </w:rPr>
      </w:pPr>
    </w:p>
    <w:p w:rsidR="002D25CF" w:rsidRDefault="002D25CF" w:rsidP="002D25CF">
      <w:pPr>
        <w:rPr>
          <w:lang w:val="en-US"/>
        </w:rPr>
      </w:pPr>
    </w:p>
    <w:p w:rsidR="002D25CF" w:rsidRPr="000876E5" w:rsidRDefault="002D25CF" w:rsidP="002D25CF">
      <w:pPr>
        <w:ind w:left="4956" w:firstLine="708"/>
        <w:rPr>
          <w:lang w:val="en-US"/>
        </w:rPr>
      </w:pPr>
      <w:r w:rsidRPr="002D25CF">
        <w:rPr>
          <w:noProof/>
        </w:rPr>
        <w:drawing>
          <wp:inline distT="0" distB="0" distL="0" distR="0">
            <wp:extent cx="2495550" cy="890049"/>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7950" cy="890905"/>
                    </a:xfrm>
                    <a:prstGeom prst="rect">
                      <a:avLst/>
                    </a:prstGeom>
                    <a:noFill/>
                    <a:ln w="9525">
                      <a:noFill/>
                      <a:miter lim="800000"/>
                      <a:headEnd/>
                      <a:tailEnd/>
                    </a:ln>
                  </pic:spPr>
                </pic:pic>
              </a:graphicData>
            </a:graphic>
          </wp:inline>
        </w:drawing>
      </w:r>
    </w:p>
    <w:sectPr w:rsidR="002D25CF" w:rsidRPr="000876E5" w:rsidSect="00B63D16">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554"/>
    <w:multiLevelType w:val="hybridMultilevel"/>
    <w:tmpl w:val="5C14C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D25CF"/>
    <w:rsid w:val="002D25CF"/>
    <w:rsid w:val="003273B3"/>
    <w:rsid w:val="0079610E"/>
    <w:rsid w:val="00B51EDB"/>
    <w:rsid w:val="00B63D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25CF"/>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2D25CF"/>
    <w:rPr>
      <w:color w:val="0000FF"/>
      <w:u w:val="single"/>
    </w:rPr>
  </w:style>
  <w:style w:type="paragraph" w:styleId="Corpodeltesto">
    <w:name w:val="Body Text"/>
    <w:basedOn w:val="Normale"/>
    <w:link w:val="CorpodeltestoCarattere"/>
    <w:rsid w:val="002D25CF"/>
    <w:rPr>
      <w:sz w:val="28"/>
      <w:szCs w:val="28"/>
    </w:rPr>
  </w:style>
  <w:style w:type="character" w:customStyle="1" w:styleId="CorpodeltestoCarattere">
    <w:name w:val="Corpo del testo Carattere"/>
    <w:basedOn w:val="Carpredefinitoparagrafo"/>
    <w:link w:val="Corpodeltesto"/>
    <w:rsid w:val="002D25CF"/>
    <w:rPr>
      <w:rFonts w:ascii="Times New Roman" w:eastAsia="Times New Roman" w:hAnsi="Times New Roman" w:cs="Times New Roman"/>
      <w:sz w:val="28"/>
      <w:szCs w:val="28"/>
      <w:lang w:eastAsia="it-IT"/>
    </w:rPr>
  </w:style>
  <w:style w:type="paragraph" w:styleId="Testofumetto">
    <w:name w:val="Balloon Text"/>
    <w:basedOn w:val="Normale"/>
    <w:link w:val="TestofumettoCarattere"/>
    <w:uiPriority w:val="99"/>
    <w:semiHidden/>
    <w:unhideWhenUsed/>
    <w:rsid w:val="002D25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25CF"/>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lecco@pec.uil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cco@uilscuola.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542</Words>
  <Characters>3096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2019-10-04T10:42:00Z</cp:lastPrinted>
  <dcterms:created xsi:type="dcterms:W3CDTF">2019-10-04T10:33:00Z</dcterms:created>
  <dcterms:modified xsi:type="dcterms:W3CDTF">2019-10-04T11:58:00Z</dcterms:modified>
</cp:coreProperties>
</file>